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66047">
      <w:pPr>
        <w:spacing w:before="320" w:after="60"/>
        <w:jc w:val="center"/>
        <w:rPr>
          <w:rFonts w:hint="default" w:ascii="Arial" w:hAnsi="Arial" w:eastAsia="Arial" w:cs="Arial"/>
          <w:b/>
          <w:bCs/>
          <w:color w:val="1B4F9B"/>
          <w:sz w:val="44"/>
          <w:szCs w:val="44"/>
          <w:lang w:val="en-IN"/>
        </w:rPr>
      </w:pPr>
      <w:r>
        <w:rPr>
          <w:sz w:val="44"/>
        </w:rPr>
        <mc:AlternateContent>
          <mc:Choice Requires="wps">
            <w:drawing>
              <wp:anchor distT="0" distB="0" distL="114300" distR="114300" simplePos="0" relativeHeight="251659264" behindDoc="0" locked="0" layoutInCell="1" allowOverlap="1">
                <wp:simplePos x="0" y="0"/>
                <wp:positionH relativeFrom="column">
                  <wp:posOffset>3007360</wp:posOffset>
                </wp:positionH>
                <wp:positionV relativeFrom="paragraph">
                  <wp:posOffset>588010</wp:posOffset>
                </wp:positionV>
                <wp:extent cx="13970" cy="1144905"/>
                <wp:effectExtent l="4445" t="0" r="19685" b="17145"/>
                <wp:wrapNone/>
                <wp:docPr id="3" name="Straight Connector 3"/>
                <wp:cNvGraphicFramePr/>
                <a:graphic xmlns:a="http://schemas.openxmlformats.org/drawingml/2006/main">
                  <a:graphicData uri="http://schemas.microsoft.com/office/word/2010/wordprocessingShape">
                    <wps:wsp>
                      <wps:cNvCnPr/>
                      <wps:spPr>
                        <a:xfrm>
                          <a:off x="3924300" y="1128395"/>
                          <a:ext cx="13970" cy="114490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36.8pt;margin-top:46.3pt;height:90.15pt;width:1.1pt;z-index:251659264;mso-width-relative:page;mso-height-relative:page;" filled="f" stroked="t" coordsize="21600,21600" o:gfxdata="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J9qu9sAAAAKAQAADwAAAAAA&#10;AAABACAAAAAiAAAAZHJzL2Rvd25yZXYueG1sUEsBAhQAFAAAAAgAh07iQB1vHq/XAQAArQMAAA4A&#10;AAAAAAAAAQAgAAAAKgEAAGRycy9lMm9Eb2MueG1sUEsFBgAAAAAGAAYAWQEAAHMFAAAAAA==&#10;">
                <v:fill on="f" focussize="0,0"/>
                <v:stroke weight="0.25pt" color="#000000 [3213]" joinstyle="round"/>
                <v:imagedata o:title=""/>
                <o:lock v:ext="edit" aspectratio="f"/>
              </v:line>
            </w:pict>
          </mc:Fallback>
        </mc:AlternateContent>
      </w:r>
      <w:r>
        <w:rPr>
          <w:rFonts w:ascii="Arial" w:hAnsi="Arial" w:eastAsia="Arial" w:cs="Arial"/>
          <w:b/>
          <w:bCs/>
          <w:color w:val="1B4F9B"/>
          <w:sz w:val="44"/>
          <w:szCs w:val="44"/>
        </w:rPr>
        <w:drawing>
          <wp:inline distT="0" distB="0" distL="114300" distR="114300">
            <wp:extent cx="1794510" cy="1794510"/>
            <wp:effectExtent l="0" t="0" r="0" b="0"/>
            <wp:docPr id="1" name="Picture 1" descr="WhatsApp_Image_2026-03-03_at_14.45.15-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_Image_2026-03-03_at_14.45.15-removebg-preview"/>
                    <pic:cNvPicPr>
                      <a:picLocks noChangeAspect="1"/>
                    </pic:cNvPicPr>
                  </pic:nvPicPr>
                  <pic:blipFill>
                    <a:blip r:embed="rId6"/>
                    <a:stretch>
                      <a:fillRect/>
                    </a:stretch>
                  </pic:blipFill>
                  <pic:spPr>
                    <a:xfrm>
                      <a:off x="0" y="0"/>
                      <a:ext cx="1794510" cy="1794510"/>
                    </a:xfrm>
                    <a:prstGeom prst="rect">
                      <a:avLst/>
                    </a:prstGeom>
                  </pic:spPr>
                </pic:pic>
              </a:graphicData>
            </a:graphic>
          </wp:inline>
        </w:drawing>
      </w:r>
      <w:r>
        <w:rPr>
          <w:rFonts w:hint="default" w:cs="Arial"/>
          <w:b/>
          <w:bCs/>
          <w:color w:val="1B4F9B"/>
          <w:sz w:val="44"/>
          <w:szCs w:val="44"/>
          <w:lang w:val="en-IN"/>
        </w:rPr>
        <w:t xml:space="preserve">        </w:t>
      </w:r>
      <w:r>
        <w:rPr>
          <w:rFonts w:hint="default" w:ascii="Arial" w:hAnsi="Arial" w:eastAsia="Arial" w:cs="Arial"/>
          <w:b/>
          <w:bCs/>
          <w:color w:val="1B4F9B"/>
          <w:sz w:val="44"/>
          <w:szCs w:val="44"/>
          <w:lang w:val="en-IN"/>
        </w:rPr>
        <w:drawing>
          <wp:inline distT="0" distB="0" distL="114300" distR="114300">
            <wp:extent cx="1890395" cy="1760220"/>
            <wp:effectExtent l="0" t="0" r="14605" b="11430"/>
            <wp:docPr id="2" name="Picture 2" descr="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 Logo"/>
                    <pic:cNvPicPr>
                      <a:picLocks noChangeAspect="1"/>
                    </pic:cNvPicPr>
                  </pic:nvPicPr>
                  <pic:blipFill>
                    <a:blip r:embed="rId7"/>
                    <a:stretch>
                      <a:fillRect/>
                    </a:stretch>
                  </pic:blipFill>
                  <pic:spPr>
                    <a:xfrm>
                      <a:off x="0" y="0"/>
                      <a:ext cx="1890395" cy="1760220"/>
                    </a:xfrm>
                    <a:prstGeom prst="rect">
                      <a:avLst/>
                    </a:prstGeom>
                  </pic:spPr>
                </pic:pic>
              </a:graphicData>
            </a:graphic>
          </wp:inline>
        </w:drawing>
      </w:r>
    </w:p>
    <w:p w14:paraId="706EAA41">
      <w:pPr>
        <w:spacing w:before="320" w:after="60"/>
        <w:jc w:val="center"/>
      </w:pPr>
      <w:r>
        <w:rPr>
          <w:rFonts w:ascii="Arial" w:hAnsi="Arial" w:eastAsia="Arial" w:cs="Arial"/>
          <w:b/>
          <w:bCs/>
          <w:color w:val="1B4F9B"/>
          <w:sz w:val="44"/>
          <w:szCs w:val="44"/>
        </w:rPr>
        <w:t>EVENT REPORT</w:t>
      </w:r>
    </w:p>
    <w:p w14:paraId="03239AFB">
      <w:pPr>
        <w:spacing w:before="0" w:after="40"/>
        <w:jc w:val="center"/>
      </w:pPr>
      <w:r>
        <w:rPr>
          <w:rFonts w:ascii="Arial" w:hAnsi="Arial" w:eastAsia="Arial" w:cs="Arial"/>
          <w:b/>
          <w:bCs/>
          <w:color w:val="333333"/>
          <w:sz w:val="34"/>
          <w:szCs w:val="34"/>
        </w:rPr>
        <w:t>One-Day Workshop on LaTeX</w:t>
      </w:r>
    </w:p>
    <w:p w14:paraId="71A319BA">
      <w:pPr>
        <w:spacing w:before="0" w:after="300"/>
        <w:jc w:val="center"/>
      </w:pPr>
      <w:r>
        <w:rPr>
          <w:rFonts w:ascii="Arial" w:hAnsi="Arial" w:eastAsia="Arial" w:cs="Arial"/>
          <w:i/>
          <w:iCs/>
          <w:color w:val="555555"/>
          <w:sz w:val="20"/>
          <w:szCs w:val="20"/>
        </w:rPr>
        <w:t>Organized by IEEE Student Branch — School of Engineering &amp; Technology, Sanjivani University</w:t>
      </w:r>
    </w:p>
    <w:p w14:paraId="56BBE9A8">
      <w:pPr>
        <w:pBdr>
          <w:bottom w:val="single" w:color="1B4F9B" w:sz="6" w:space="2"/>
        </w:pBdr>
        <w:spacing w:before="280" w:after="120"/>
      </w:pPr>
      <w:r>
        <w:rPr>
          <w:rFonts w:ascii="Arial" w:hAnsi="Arial" w:eastAsia="Arial" w:cs="Arial"/>
          <w:b/>
          <w:bCs/>
          <w:color w:val="1B4F9B"/>
          <w:sz w:val="28"/>
          <w:szCs w:val="28"/>
        </w:rPr>
        <w:t>1. Event Details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20"/>
        <w:gridCol w:w="6840"/>
      </w:tblGrid>
      <w:tr w14:paraId="09D0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007E1B6E">
            <w:r>
              <w:rPr>
                <w:rFonts w:ascii="Arial" w:hAnsi="Arial" w:eastAsia="Arial" w:cs="Arial"/>
                <w:b/>
                <w:bCs/>
                <w:color w:val="1B4F9B"/>
                <w:sz w:val="22"/>
                <w:szCs w:val="22"/>
              </w:rPr>
              <w:t>Event Name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4F8599E1">
            <w:r>
              <w:rPr>
                <w:rFonts w:ascii="Arial" w:hAnsi="Arial" w:eastAsia="Arial" w:cs="Arial"/>
                <w:sz w:val="22"/>
                <w:szCs w:val="22"/>
              </w:rPr>
              <w:t>One-Day Workshop on LaTeX</w:t>
            </w:r>
          </w:p>
        </w:tc>
      </w:tr>
      <w:tr w14:paraId="439E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32F0811D">
            <w:r>
              <w:rPr>
                <w:rFonts w:ascii="Arial" w:hAnsi="Arial" w:eastAsia="Arial" w:cs="Arial"/>
                <w:b/>
                <w:bCs/>
                <w:color w:val="1B4F9B"/>
                <w:sz w:val="22"/>
                <w:szCs w:val="22"/>
              </w:rPr>
              <w:t>Organizing Body</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55BABD3E">
            <w:r>
              <w:rPr>
                <w:rFonts w:ascii="Arial" w:hAnsi="Arial" w:eastAsia="Arial" w:cs="Arial"/>
                <w:sz w:val="22"/>
                <w:szCs w:val="22"/>
              </w:rPr>
              <w:t>IEEE Student Branch, School of Engineering &amp; Technology, Sanjivani University</w:t>
            </w:r>
          </w:p>
        </w:tc>
      </w:tr>
      <w:tr w14:paraId="5F07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7697D225">
            <w:r>
              <w:rPr>
                <w:rFonts w:ascii="Arial" w:hAnsi="Arial" w:eastAsia="Arial" w:cs="Arial"/>
                <w:b/>
                <w:bCs/>
                <w:color w:val="1B4F9B"/>
                <w:sz w:val="22"/>
                <w:szCs w:val="22"/>
              </w:rPr>
              <w:t>Target Audience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5E85F0E9">
            <w:r>
              <w:rPr>
                <w:rFonts w:ascii="Arial" w:hAnsi="Arial" w:eastAsia="Arial" w:cs="Arial"/>
                <w:sz w:val="22"/>
                <w:szCs w:val="22"/>
              </w:rPr>
              <w:t>2nd Year B.Tech Students</w:t>
            </w:r>
          </w:p>
        </w:tc>
      </w:tr>
      <w:tr w14:paraId="7F29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270F33B3">
            <w:r>
              <w:rPr>
                <w:rFonts w:ascii="Arial" w:hAnsi="Arial" w:eastAsia="Arial" w:cs="Arial"/>
                <w:b/>
                <w:bCs/>
                <w:color w:val="1B4F9B"/>
                <w:sz w:val="22"/>
                <w:szCs w:val="22"/>
              </w:rPr>
              <w:t>Date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05CF8D64">
            <w:r>
              <w:rPr>
                <w:rFonts w:ascii="Arial" w:hAnsi="Arial" w:eastAsia="Arial" w:cs="Arial"/>
                <w:sz w:val="22"/>
                <w:szCs w:val="22"/>
              </w:rPr>
              <w:t>5th March 2026</w:t>
            </w:r>
          </w:p>
        </w:tc>
      </w:tr>
      <w:tr w14:paraId="6AA0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0CDC7659">
            <w:r>
              <w:rPr>
                <w:rFonts w:ascii="Arial" w:hAnsi="Arial" w:eastAsia="Arial" w:cs="Arial"/>
                <w:b/>
                <w:bCs/>
                <w:color w:val="1B4F9B"/>
                <w:sz w:val="22"/>
                <w:szCs w:val="22"/>
              </w:rPr>
              <w:t>Time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647CD30D">
            <w:r>
              <w:rPr>
                <w:rFonts w:ascii="Arial" w:hAnsi="Arial" w:eastAsia="Arial" w:cs="Arial"/>
                <w:sz w:val="22"/>
                <w:szCs w:val="22"/>
              </w:rPr>
              <w:t>12:30 PM onwards</w:t>
            </w:r>
          </w:p>
        </w:tc>
      </w:tr>
      <w:tr w14:paraId="5C22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174E3C00">
            <w:r>
              <w:rPr>
                <w:rFonts w:ascii="Arial" w:hAnsi="Arial" w:eastAsia="Arial" w:cs="Arial"/>
                <w:b/>
                <w:bCs/>
                <w:color w:val="1B4F9B"/>
                <w:sz w:val="22"/>
                <w:szCs w:val="22"/>
              </w:rPr>
              <w:t>Venue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5518434F">
            <w:r>
              <w:rPr>
                <w:rFonts w:ascii="Arial" w:hAnsi="Arial" w:eastAsia="Arial" w:cs="Arial"/>
                <w:sz w:val="22"/>
                <w:szCs w:val="22"/>
              </w:rPr>
              <w:t>301 Lab, Sanjivani University</w:t>
            </w:r>
          </w:p>
        </w:tc>
      </w:tr>
      <w:tr w14:paraId="5E22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07046B5D">
            <w:r>
              <w:rPr>
                <w:rFonts w:ascii="Arial" w:hAnsi="Arial" w:eastAsia="Arial" w:cs="Arial"/>
                <w:b/>
                <w:bCs/>
                <w:color w:val="1B4F9B"/>
                <w:sz w:val="22"/>
                <w:szCs w:val="22"/>
              </w:rPr>
              <w:t>Session By</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2F028E9A">
            <w:r>
              <w:rPr>
                <w:rFonts w:ascii="Arial" w:hAnsi="Arial" w:eastAsia="Arial" w:cs="Arial"/>
                <w:sz w:val="22"/>
                <w:szCs w:val="22"/>
              </w:rPr>
              <w:t>Dr. Chetan D. Bawankar</w:t>
            </w:r>
          </w:p>
        </w:tc>
      </w:tr>
      <w:tr w14:paraId="7B84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00666CEE">
            <w:r>
              <w:rPr>
                <w:rFonts w:ascii="Arial" w:hAnsi="Arial" w:eastAsia="Arial" w:cs="Arial"/>
                <w:b/>
                <w:bCs/>
                <w:color w:val="1B4F9B"/>
                <w:sz w:val="22"/>
                <w:szCs w:val="22"/>
              </w:rPr>
              <w:t>Event Type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412AE4EA">
            <w:r>
              <w:rPr>
                <w:rFonts w:ascii="Arial" w:hAnsi="Arial" w:eastAsia="Arial" w:cs="Arial"/>
                <w:sz w:val="22"/>
                <w:szCs w:val="22"/>
              </w:rPr>
              <w:t>Technical Workshop</w:t>
            </w:r>
          </w:p>
        </w:tc>
      </w:tr>
    </w:tbl>
    <w:p w14:paraId="6F3C56A1">
      <w:pPr>
        <w:pBdr>
          <w:bottom w:val="single" w:color="1B4F9B" w:sz="6" w:space="2"/>
        </w:pBdr>
        <w:spacing w:before="280" w:after="120"/>
      </w:pPr>
      <w:r>
        <w:rPr>
          <w:rFonts w:ascii="Arial" w:hAnsi="Arial" w:eastAsia="Arial" w:cs="Arial"/>
          <w:b/>
          <w:bCs/>
          <w:color w:val="1B4F9B"/>
          <w:sz w:val="28"/>
          <w:szCs w:val="28"/>
        </w:rPr>
        <w:t>2. About the Event</w:t>
      </w:r>
    </w:p>
    <w:p w14:paraId="23490B1E">
      <w:pPr>
        <w:spacing w:before="60" w:after="60"/>
        <w:jc w:val="left"/>
      </w:pPr>
      <w:r>
        <w:rPr>
          <w:rFonts w:ascii="Arial" w:hAnsi="Arial" w:eastAsia="Arial" w:cs="Arial"/>
          <w:b w:val="0"/>
          <w:bCs w:val="0"/>
          <w:i w:val="0"/>
          <w:iCs w:val="0"/>
          <w:color w:val="333333"/>
          <w:sz w:val="22"/>
          <w:szCs w:val="22"/>
        </w:rPr>
        <w:t>The IEEE Student Branch of the School of Engineering &amp; Technology, Sanjivani University, successfully organized a One-Day Workshop on LaTeX on 5th March 2026. The workshop was specifically designed for 2nd Year B.Tech students to introduce them to the powerful document preparation system — LaTeX — which is widely used in academia, engineering, and scientific publishing.</w:t>
      </w:r>
    </w:p>
    <w:p w14:paraId="6F717F9C">
      <w:pPr>
        <w:spacing w:before="60" w:after="60"/>
        <w:jc w:val="left"/>
      </w:pPr>
      <w:r>
        <w:rPr>
          <w:rFonts w:ascii="Arial" w:hAnsi="Arial" w:eastAsia="Arial" w:cs="Arial"/>
          <w:b w:val="0"/>
          <w:bCs w:val="0"/>
          <w:i w:val="0"/>
          <w:iCs w:val="0"/>
          <w:color w:val="333333"/>
          <w:sz w:val="22"/>
          <w:szCs w:val="22"/>
        </w:rPr>
        <w:t>The event aimed to equip participants with practical skills to typeset professional-quality technical and research documents at an early and formative stage of their B.Tech academic journey, laying a strong foundation for future research and publication work.</w:t>
      </w:r>
    </w:p>
    <w:p w14:paraId="52D59FDE">
      <w:pPr>
        <w:pBdr>
          <w:bottom w:val="single" w:color="1B4F9B" w:sz="6" w:space="2"/>
        </w:pBdr>
        <w:spacing w:before="280" w:after="120"/>
      </w:pPr>
      <w:r>
        <w:rPr>
          <w:rFonts w:ascii="Arial" w:hAnsi="Arial" w:eastAsia="Arial" w:cs="Arial"/>
          <w:b/>
          <w:bCs/>
          <w:color w:val="1B4F9B"/>
          <w:sz w:val="28"/>
          <w:szCs w:val="28"/>
        </w:rPr>
        <w:t>3. Objectives of the Workshop</w:t>
      </w:r>
    </w:p>
    <w:p w14:paraId="5CDAAFDA">
      <w:pPr>
        <w:pStyle w:val="14"/>
        <w:numPr>
          <w:ilvl w:val="0"/>
          <w:numId w:val="1"/>
        </w:numPr>
        <w:spacing w:before="40" w:after="40"/>
      </w:pPr>
      <w:r>
        <w:rPr>
          <w:rFonts w:ascii="Arial" w:hAnsi="Arial" w:eastAsia="Arial" w:cs="Arial"/>
          <w:color w:val="333333"/>
          <w:sz w:val="22"/>
          <w:szCs w:val="22"/>
        </w:rPr>
        <w:t>To introduce 2nd Year B.Tech students to LaTeX and its importance in technical and academic writing.</w:t>
      </w:r>
    </w:p>
    <w:p w14:paraId="45A78910">
      <w:pPr>
        <w:pStyle w:val="14"/>
        <w:numPr>
          <w:ilvl w:val="0"/>
          <w:numId w:val="1"/>
        </w:numPr>
        <w:spacing w:before="40" w:after="40"/>
      </w:pPr>
      <w:r>
        <w:rPr>
          <w:rFonts w:ascii="Arial" w:hAnsi="Arial" w:eastAsia="Arial" w:cs="Arial"/>
          <w:color w:val="333333"/>
          <w:sz w:val="22"/>
          <w:szCs w:val="22"/>
        </w:rPr>
        <w:t>To provide hands-on training on LaTeX document preparation, formatting, and structuring.</w:t>
      </w:r>
    </w:p>
    <w:p w14:paraId="1A164EE0">
      <w:pPr>
        <w:pStyle w:val="14"/>
        <w:numPr>
          <w:ilvl w:val="0"/>
          <w:numId w:val="1"/>
        </w:numPr>
        <w:spacing w:before="40" w:after="40"/>
      </w:pPr>
      <w:r>
        <w:rPr>
          <w:rFonts w:ascii="Arial" w:hAnsi="Arial" w:eastAsia="Arial" w:cs="Arial"/>
          <w:color w:val="333333"/>
          <w:sz w:val="22"/>
          <w:szCs w:val="22"/>
        </w:rPr>
        <w:t>To facilitate networking among students, researchers, and faculty.</w:t>
      </w:r>
    </w:p>
    <w:p w14:paraId="6294D955">
      <w:pPr>
        <w:pStyle w:val="14"/>
        <w:numPr>
          <w:ilvl w:val="0"/>
          <w:numId w:val="1"/>
        </w:numPr>
        <w:spacing w:before="40" w:after="40"/>
      </w:pPr>
      <w:r>
        <w:rPr>
          <w:rFonts w:ascii="Arial" w:hAnsi="Arial" w:eastAsia="Arial" w:cs="Arial"/>
          <w:color w:val="333333"/>
          <w:sz w:val="22"/>
          <w:szCs w:val="22"/>
        </w:rPr>
        <w:t>To offer project guidance to students undertaking research-based academic work.</w:t>
      </w:r>
    </w:p>
    <w:p w14:paraId="1F0D55FA">
      <w:pPr>
        <w:pStyle w:val="14"/>
        <w:numPr>
          <w:ilvl w:val="0"/>
          <w:numId w:val="1"/>
        </w:numPr>
        <w:spacing w:before="40" w:after="40"/>
      </w:pPr>
      <w:r>
        <w:rPr>
          <w:rFonts w:ascii="Arial" w:hAnsi="Arial" w:eastAsia="Arial" w:cs="Arial"/>
          <w:color w:val="333333"/>
          <w:sz w:val="22"/>
          <w:szCs w:val="22"/>
        </w:rPr>
        <w:t>To build a culture of professional documentation among early-stage engineering students.</w:t>
      </w:r>
    </w:p>
    <w:p w14:paraId="50A6CCC0">
      <w:pPr>
        <w:pBdr>
          <w:bottom w:val="single" w:color="1B4F9B" w:sz="6" w:space="2"/>
        </w:pBdr>
        <w:spacing w:before="280" w:after="120"/>
      </w:pPr>
      <w:r>
        <w:rPr>
          <w:rFonts w:ascii="Arial" w:hAnsi="Arial" w:eastAsia="Arial" w:cs="Arial"/>
          <w:b/>
          <w:bCs/>
          <w:color w:val="1B4F9B"/>
          <w:sz w:val="28"/>
          <w:szCs w:val="28"/>
        </w:rPr>
        <w:t>4. Workshop Highlights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20"/>
        <w:gridCol w:w="3640"/>
        <w:gridCol w:w="5200"/>
      </w:tblGrid>
      <w:tr w14:paraId="13E6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1B4F9B"/>
            <w:tcMar>
              <w:top w:w="80" w:type="dxa"/>
              <w:left w:w="80" w:type="dxa"/>
              <w:bottom w:w="80" w:type="dxa"/>
              <w:right w:w="80" w:type="dxa"/>
            </w:tcMar>
          </w:tcPr>
          <w:p w14:paraId="7F58FB5B">
            <w:pPr>
              <w:jc w:val="center"/>
            </w:pPr>
            <w:r>
              <w:rPr>
                <w:rFonts w:ascii="Arial" w:hAnsi="Arial" w:eastAsia="Arial" w:cs="Arial"/>
                <w:b/>
                <w:bCs/>
                <w:color w:val="FFFFFF"/>
                <w:sz w:val="22"/>
                <w:szCs w:val="22"/>
              </w:rPr>
              <w:t>#</w:t>
            </w:r>
          </w:p>
        </w:tc>
        <w:tc>
          <w:tcPr>
            <w:tcW w:w="3640" w:type="dxa"/>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3FD5C4E0">
            <w:r>
              <w:rPr>
                <w:rFonts w:ascii="Arial" w:hAnsi="Arial" w:eastAsia="Arial" w:cs="Arial"/>
                <w:b/>
                <w:bCs/>
                <w:color w:val="FFFFFF"/>
                <w:sz w:val="22"/>
                <w:szCs w:val="22"/>
              </w:rPr>
              <w:t>Session / Activity</w:t>
            </w:r>
          </w:p>
        </w:tc>
        <w:tc>
          <w:tcPr>
            <w:tcW w:w="5200" w:type="dxa"/>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6D3B79B7">
            <w:r>
              <w:rPr>
                <w:rFonts w:ascii="Arial" w:hAnsi="Arial" w:eastAsia="Arial" w:cs="Arial"/>
                <w:b/>
                <w:bCs/>
                <w:color w:val="FFFFFF"/>
                <w:sz w:val="22"/>
                <w:szCs w:val="22"/>
              </w:rPr>
              <w:t>Description</w:t>
            </w:r>
          </w:p>
        </w:tc>
      </w:tr>
      <w:tr w14:paraId="1257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EBF2F9"/>
            <w:tcMar>
              <w:top w:w="80" w:type="dxa"/>
              <w:left w:w="80" w:type="dxa"/>
              <w:bottom w:w="80" w:type="dxa"/>
              <w:right w:w="80" w:type="dxa"/>
            </w:tcMar>
            <w:vAlign w:val="center"/>
          </w:tcPr>
          <w:p w14:paraId="416E0910">
            <w:pPr>
              <w:jc w:val="center"/>
            </w:pPr>
            <w:r>
              <w:rPr>
                <w:rFonts w:ascii="Arial" w:hAnsi="Arial" w:eastAsia="Arial" w:cs="Arial"/>
                <w:sz w:val="22"/>
                <w:szCs w:val="22"/>
              </w:rPr>
              <w:t>1</w:t>
            </w:r>
          </w:p>
        </w:tc>
        <w:tc>
          <w:tcPr>
            <w:tcW w:w="364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7FC2FDE8">
            <w:r>
              <w:rPr>
                <w:rFonts w:ascii="Arial" w:hAnsi="Arial" w:eastAsia="Arial" w:cs="Arial"/>
                <w:b/>
                <w:bCs/>
                <w:sz w:val="22"/>
                <w:szCs w:val="22"/>
              </w:rPr>
              <w:t>Introduction to LaTeX</w:t>
            </w:r>
          </w:p>
        </w:tc>
        <w:tc>
          <w:tcPr>
            <w:tcW w:w="520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76281E4F">
            <w:r>
              <w:rPr>
                <w:rFonts w:ascii="Arial" w:hAnsi="Arial" w:eastAsia="Arial" w:cs="Arial"/>
                <w:sz w:val="22"/>
                <w:szCs w:val="22"/>
              </w:rPr>
              <w:t>Overview of LaTeX, its importance in academia, and a comparison with traditional word processors. Specially tailored for 2nd Year B.Tech students.</w:t>
            </w:r>
          </w:p>
        </w:tc>
      </w:tr>
      <w:tr w14:paraId="200B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FFFFFF"/>
            <w:tcMar>
              <w:top w:w="80" w:type="dxa"/>
              <w:left w:w="80" w:type="dxa"/>
              <w:bottom w:w="80" w:type="dxa"/>
              <w:right w:w="80" w:type="dxa"/>
            </w:tcMar>
            <w:vAlign w:val="center"/>
          </w:tcPr>
          <w:p w14:paraId="32F951F2">
            <w:pPr>
              <w:jc w:val="center"/>
            </w:pPr>
            <w:r>
              <w:rPr>
                <w:rFonts w:ascii="Arial" w:hAnsi="Arial" w:eastAsia="Arial" w:cs="Arial"/>
                <w:sz w:val="22"/>
                <w:szCs w:val="22"/>
              </w:rPr>
              <w:t>2</w:t>
            </w:r>
          </w:p>
        </w:tc>
        <w:tc>
          <w:tcPr>
            <w:tcW w:w="364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287F7A7F">
            <w:r>
              <w:rPr>
                <w:rFonts w:ascii="Arial" w:hAnsi="Arial" w:eastAsia="Arial" w:cs="Arial"/>
                <w:b/>
                <w:bCs/>
                <w:sz w:val="22"/>
                <w:szCs w:val="22"/>
              </w:rPr>
              <w:t>Hands-on Session</w:t>
            </w:r>
          </w:p>
        </w:tc>
        <w:tc>
          <w:tcPr>
            <w:tcW w:w="520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6BDC7046">
            <w:r>
              <w:rPr>
                <w:rFonts w:ascii="Arial" w:hAnsi="Arial" w:eastAsia="Arial" w:cs="Arial"/>
                <w:sz w:val="22"/>
                <w:szCs w:val="22"/>
              </w:rPr>
              <w:t>Interactive practicals enabling participants to create documents, format equations, tables, and figures using LaTeX in real time.</w:t>
            </w:r>
          </w:p>
        </w:tc>
      </w:tr>
      <w:tr w14:paraId="4E74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EBF2F9"/>
            <w:tcMar>
              <w:top w:w="80" w:type="dxa"/>
              <w:left w:w="80" w:type="dxa"/>
              <w:bottom w:w="80" w:type="dxa"/>
              <w:right w:w="80" w:type="dxa"/>
            </w:tcMar>
            <w:vAlign w:val="center"/>
          </w:tcPr>
          <w:p w14:paraId="61695261">
            <w:pPr>
              <w:jc w:val="center"/>
            </w:pPr>
            <w:r>
              <w:rPr>
                <w:rFonts w:ascii="Arial" w:hAnsi="Arial" w:eastAsia="Arial" w:cs="Arial"/>
                <w:sz w:val="22"/>
                <w:szCs w:val="22"/>
              </w:rPr>
              <w:t>3</w:t>
            </w:r>
          </w:p>
        </w:tc>
        <w:tc>
          <w:tcPr>
            <w:tcW w:w="364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38E977B6">
            <w:r>
              <w:rPr>
                <w:rFonts w:ascii="Arial" w:hAnsi="Arial" w:eastAsia="Arial" w:cs="Arial"/>
                <w:b/>
                <w:bCs/>
                <w:sz w:val="22"/>
                <w:szCs w:val="22"/>
              </w:rPr>
              <w:t>Networking</w:t>
            </w:r>
          </w:p>
        </w:tc>
        <w:tc>
          <w:tcPr>
            <w:tcW w:w="520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01298091">
            <w:r>
              <w:rPr>
                <w:rFonts w:ascii="Arial" w:hAnsi="Arial" w:eastAsia="Arial" w:cs="Arial"/>
                <w:sz w:val="22"/>
                <w:szCs w:val="22"/>
              </w:rPr>
              <w:t>Platform for students, faculty, and researchers to interact, exchange ideas, and build professional connections.</w:t>
            </w:r>
          </w:p>
        </w:tc>
      </w:tr>
      <w:tr w14:paraId="1169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FFFFFF"/>
            <w:tcMar>
              <w:top w:w="80" w:type="dxa"/>
              <w:left w:w="80" w:type="dxa"/>
              <w:bottom w:w="80" w:type="dxa"/>
              <w:right w:w="80" w:type="dxa"/>
            </w:tcMar>
            <w:vAlign w:val="center"/>
          </w:tcPr>
          <w:p w14:paraId="7D9497CD">
            <w:pPr>
              <w:jc w:val="center"/>
            </w:pPr>
            <w:r>
              <w:rPr>
                <w:rFonts w:ascii="Arial" w:hAnsi="Arial" w:eastAsia="Arial" w:cs="Arial"/>
                <w:sz w:val="22"/>
                <w:szCs w:val="22"/>
              </w:rPr>
              <w:t>4</w:t>
            </w:r>
          </w:p>
        </w:tc>
        <w:tc>
          <w:tcPr>
            <w:tcW w:w="364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7703EEB2">
            <w:r>
              <w:rPr>
                <w:rFonts w:ascii="Arial" w:hAnsi="Arial" w:eastAsia="Arial" w:cs="Arial"/>
                <w:b/>
                <w:bCs/>
                <w:sz w:val="22"/>
                <w:szCs w:val="22"/>
              </w:rPr>
              <w:t>Project Guidance</w:t>
            </w:r>
          </w:p>
        </w:tc>
        <w:tc>
          <w:tcPr>
            <w:tcW w:w="520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1E8BF982">
            <w:r>
              <w:rPr>
                <w:rFonts w:ascii="Arial" w:hAnsi="Arial" w:eastAsia="Arial" w:cs="Arial"/>
                <w:sz w:val="22"/>
                <w:szCs w:val="22"/>
              </w:rPr>
              <w:t>Personalized guidance provided to students on using LaTeX for academic reports, mini-projects, and research submissions.</w:t>
            </w:r>
          </w:p>
        </w:tc>
      </w:tr>
    </w:tbl>
    <w:p w14:paraId="57F80AA7">
      <w:pPr>
        <w:pBdr>
          <w:bottom w:val="single" w:color="1B4F9B" w:sz="6" w:space="2"/>
        </w:pBdr>
        <w:spacing w:before="280" w:after="120"/>
      </w:pPr>
      <w:r>
        <w:rPr>
          <w:rFonts w:ascii="Arial" w:hAnsi="Arial" w:eastAsia="Arial" w:cs="Arial"/>
          <w:b/>
          <w:bCs/>
          <w:color w:val="1B4F9B"/>
          <w:sz w:val="28"/>
          <w:szCs w:val="28"/>
        </w:rPr>
        <w:t>5. Resource Person</w:t>
      </w:r>
    </w:p>
    <w:p w14:paraId="7B4BE445">
      <w:pPr>
        <w:spacing w:before="60" w:after="60"/>
        <w:jc w:val="left"/>
      </w:pPr>
      <w:r>
        <w:rPr>
          <w:rFonts w:ascii="Arial" w:hAnsi="Arial" w:eastAsia="Arial" w:cs="Arial"/>
          <w:b w:val="0"/>
          <w:bCs w:val="0"/>
          <w:i w:val="0"/>
          <w:iCs w:val="0"/>
          <w:color w:val="333333"/>
          <w:sz w:val="22"/>
          <w:szCs w:val="22"/>
        </w:rPr>
        <w:t>The workshop session was conducted by Dr. Chetan D. Bawankar, a distinguished academician and expert in technical documentation. Dr. Bawankar guided the 2nd Year B.Tech participants through the nuances of LaTeX with practical examples and live demonstrations, ensuring an engaging and highly productive learning experience for students at this stage of their engineering program.</w:t>
      </w:r>
    </w:p>
    <w:p w14:paraId="39F1C563">
      <w:pPr>
        <w:pBdr>
          <w:bottom w:val="single" w:color="1B4F9B" w:sz="6" w:space="2"/>
        </w:pBdr>
        <w:spacing w:before="280" w:after="120"/>
      </w:pPr>
      <w:r>
        <w:rPr>
          <w:rFonts w:ascii="Arial" w:hAnsi="Arial" w:eastAsia="Arial" w:cs="Arial"/>
          <w:b/>
          <w:bCs/>
          <w:color w:val="1B4F9B"/>
          <w:sz w:val="28"/>
          <w:szCs w:val="28"/>
        </w:rPr>
        <w:t>6. Organizing Committee</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25"/>
        <w:gridCol w:w="4335"/>
        <w:gridCol w:w="2300"/>
      </w:tblGrid>
      <w:tr w14:paraId="668F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4D5D668A">
            <w:r>
              <w:rPr>
                <w:rFonts w:ascii="Arial" w:hAnsi="Arial" w:eastAsia="Arial" w:cs="Arial"/>
                <w:b/>
                <w:bCs/>
                <w:color w:val="FFFFFF"/>
                <w:sz w:val="22"/>
                <w:szCs w:val="22"/>
              </w:rPr>
              <w:t>Name</w:t>
            </w:r>
          </w:p>
        </w:tc>
        <w:tc>
          <w:tcPr>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6028EB9E">
            <w:r>
              <w:rPr>
                <w:rFonts w:ascii="Arial" w:hAnsi="Arial" w:eastAsia="Arial" w:cs="Arial"/>
                <w:b/>
                <w:bCs/>
                <w:color w:val="FFFFFF"/>
                <w:sz w:val="22"/>
                <w:szCs w:val="22"/>
              </w:rPr>
              <w:t>Designation</w:t>
            </w:r>
          </w:p>
        </w:tc>
        <w:tc>
          <w:tcPr>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334F96C2">
            <w:r>
              <w:rPr>
                <w:rFonts w:ascii="Arial" w:hAnsi="Arial" w:eastAsia="Arial" w:cs="Arial"/>
                <w:b/>
                <w:bCs/>
                <w:color w:val="FFFFFF"/>
                <w:sz w:val="22"/>
                <w:szCs w:val="22"/>
              </w:rPr>
              <w:t>Role</w:t>
            </w:r>
          </w:p>
        </w:tc>
      </w:tr>
      <w:tr w14:paraId="307A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4789132B">
            <w:r>
              <w:rPr>
                <w:rFonts w:ascii="Arial" w:hAnsi="Arial" w:eastAsia="Arial" w:cs="Arial"/>
                <w:sz w:val="22"/>
                <w:szCs w:val="22"/>
              </w:rPr>
              <w:t>Hon'ble Shri. Amit Kolhe</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2C910194">
            <w:r>
              <w:rPr>
                <w:rFonts w:ascii="Arial" w:hAnsi="Arial" w:eastAsia="Arial" w:cs="Arial"/>
                <w:sz w:val="22"/>
                <w:szCs w:val="22"/>
              </w:rPr>
              <w:t>President, Sanjivani University</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29BAC929">
            <w:r>
              <w:rPr>
                <w:rFonts w:ascii="Arial" w:hAnsi="Arial" w:eastAsia="Arial" w:cs="Arial"/>
                <w:sz w:val="22"/>
                <w:szCs w:val="22"/>
              </w:rPr>
              <w:t>Patron</w:t>
            </w:r>
          </w:p>
        </w:tc>
      </w:tr>
      <w:tr w14:paraId="39D8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421AB42C">
            <w:r>
              <w:rPr>
                <w:rFonts w:ascii="Arial" w:hAnsi="Arial" w:eastAsia="Arial" w:cs="Arial"/>
                <w:sz w:val="22"/>
                <w:szCs w:val="22"/>
              </w:rPr>
              <w:t>Dr. A.G. Thakur</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2B13AE6D">
            <w:r>
              <w:rPr>
                <w:rFonts w:ascii="Arial" w:hAnsi="Arial" w:eastAsia="Arial" w:cs="Arial"/>
                <w:sz w:val="22"/>
                <w:szCs w:val="22"/>
              </w:rPr>
              <w:t>Vice Chancellor, Sanjivani University</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0527777D">
            <w:r>
              <w:rPr>
                <w:rFonts w:ascii="Arial" w:hAnsi="Arial" w:eastAsia="Arial" w:cs="Arial"/>
                <w:sz w:val="22"/>
                <w:szCs w:val="22"/>
              </w:rPr>
              <w:t>Patron</w:t>
            </w:r>
          </w:p>
        </w:tc>
      </w:tr>
      <w:tr w14:paraId="36CD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764F4D3B">
            <w:r>
              <w:rPr>
                <w:rFonts w:ascii="Arial" w:hAnsi="Arial" w:eastAsia="Arial" w:cs="Arial"/>
                <w:sz w:val="22"/>
                <w:szCs w:val="22"/>
              </w:rPr>
              <w:t>Dr. Kavitha Rani P.</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7A2F7099">
            <w:r>
              <w:rPr>
                <w:rFonts w:ascii="Arial" w:hAnsi="Arial" w:eastAsia="Arial" w:cs="Arial"/>
                <w:sz w:val="22"/>
                <w:szCs w:val="22"/>
              </w:rPr>
              <w:t>Dean-SET, SU &amp; Faculty Advisor - IEEE</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2C9FF741">
            <w:r>
              <w:rPr>
                <w:rFonts w:ascii="Arial" w:hAnsi="Arial" w:eastAsia="Arial" w:cs="Arial"/>
                <w:sz w:val="22"/>
                <w:szCs w:val="22"/>
              </w:rPr>
              <w:t>Faculty Advisor</w:t>
            </w:r>
          </w:p>
        </w:tc>
      </w:tr>
      <w:tr w14:paraId="402E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7FFC7B2A">
            <w:r>
              <w:rPr>
                <w:rFonts w:ascii="Arial" w:hAnsi="Arial" w:eastAsia="Arial" w:cs="Arial"/>
                <w:sz w:val="22"/>
                <w:szCs w:val="22"/>
              </w:rPr>
              <w:t>Dr. Devyani Jadhav</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416D2192">
            <w:r>
              <w:rPr>
                <w:rFonts w:ascii="Arial" w:hAnsi="Arial" w:eastAsia="Arial" w:cs="Arial"/>
                <w:sz w:val="22"/>
                <w:szCs w:val="22"/>
              </w:rPr>
              <w:t>IEEE Student Branch Counsellor</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78FAE62D">
            <w:r>
              <w:rPr>
                <w:rFonts w:ascii="Arial" w:hAnsi="Arial" w:eastAsia="Arial" w:cs="Arial"/>
                <w:sz w:val="22"/>
                <w:szCs w:val="22"/>
              </w:rPr>
              <w:t>Branch Counsellor</w:t>
            </w:r>
          </w:p>
        </w:tc>
      </w:tr>
      <w:tr w14:paraId="2B47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403A9559">
            <w:r>
              <w:rPr>
                <w:rFonts w:ascii="Arial" w:hAnsi="Arial" w:eastAsia="Arial" w:cs="Arial"/>
                <w:sz w:val="22"/>
                <w:szCs w:val="22"/>
              </w:rPr>
              <w:t>Dr. Tanay Ghosh</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1CDA155E">
            <w:r>
              <w:rPr>
                <w:rFonts w:ascii="Arial" w:hAnsi="Arial" w:eastAsia="Arial" w:cs="Arial"/>
                <w:sz w:val="22"/>
                <w:szCs w:val="22"/>
              </w:rPr>
              <w:t>Asst. Prof., SU</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1E77DA5C">
            <w:r>
              <w:rPr>
                <w:rFonts w:ascii="Arial" w:hAnsi="Arial" w:eastAsia="Arial" w:cs="Arial"/>
                <w:sz w:val="22"/>
                <w:szCs w:val="22"/>
              </w:rPr>
              <w:t>Student Coordinator</w:t>
            </w:r>
          </w:p>
        </w:tc>
      </w:tr>
    </w:tbl>
    <w:p w14:paraId="25FAB552">
      <w:pPr>
        <w:pBdr>
          <w:bottom w:val="single" w:color="1B4F9B" w:sz="6" w:space="2"/>
        </w:pBdr>
        <w:spacing w:before="280" w:after="120"/>
      </w:pPr>
      <w:r>
        <w:rPr>
          <w:rFonts w:ascii="Arial" w:hAnsi="Arial" w:eastAsia="Arial" w:cs="Arial"/>
          <w:b/>
          <w:bCs/>
          <w:color w:val="1B4F9B"/>
          <w:sz w:val="28"/>
          <w:szCs w:val="28"/>
        </w:rPr>
        <w:t>7. Outcome &amp; Conclusion</w:t>
      </w:r>
    </w:p>
    <w:p w14:paraId="0CA92E50">
      <w:pPr>
        <w:spacing w:before="60" w:after="60"/>
        <w:jc w:val="left"/>
      </w:pPr>
      <w:r>
        <w:rPr>
          <w:rFonts w:ascii="Arial" w:hAnsi="Arial" w:eastAsia="Arial" w:cs="Arial"/>
          <w:b w:val="0"/>
          <w:bCs w:val="0"/>
          <w:i w:val="0"/>
          <w:iCs w:val="0"/>
          <w:color w:val="333333"/>
          <w:sz w:val="22"/>
          <w:szCs w:val="22"/>
        </w:rPr>
        <w:t>The One-Day Workshop on LaTeX was a resounding success among the 2nd Year B.Tech students of Sanjivani University. Participants gained practical exposure to LaTeX-based document preparation, enabling them to produce high-quality academic reports, presentations, and research papers. The hands-on sessions and interactive project guidance ensured meaningful learning outcomes at this crucial stage of their engineering studies.</w:t>
      </w:r>
    </w:p>
    <w:p w14:paraId="21A27691">
      <w:pPr>
        <w:spacing w:before="60" w:after="60"/>
        <w:jc w:val="left"/>
      </w:pPr>
      <w:r>
        <w:rPr>
          <w:rFonts w:ascii="Arial" w:hAnsi="Arial" w:eastAsia="Arial" w:cs="Arial"/>
          <w:b w:val="0"/>
          <w:bCs w:val="0"/>
          <w:i w:val="0"/>
          <w:iCs w:val="0"/>
          <w:color w:val="333333"/>
          <w:sz w:val="22"/>
          <w:szCs w:val="22"/>
        </w:rPr>
        <w:t>The event reinforced the IEEE Student Branch's commitment to fostering technical excellence and professional development. The workshop received enthusiastic participation and appreciation from attendees, and the IEEE Student Branch looks forward to organizing more such knowledge-enriching events in the future.</w:t>
      </w:r>
    </w:p>
    <w:p w14:paraId="0F8804B6">
      <w:pPr>
        <w:pBdr>
          <w:bottom w:val="single" w:color="1B4F9B" w:sz="6" w:space="2"/>
        </w:pBdr>
        <w:spacing w:before="280" w:after="120"/>
      </w:pPr>
      <w:r>
        <w:rPr>
          <w:rFonts w:ascii="Arial" w:hAnsi="Arial" w:eastAsia="Arial" w:cs="Arial"/>
          <w:b/>
          <w:bCs/>
          <w:color w:val="1B4F9B"/>
          <w:sz w:val="28"/>
          <w:szCs w:val="28"/>
        </w:rPr>
        <w:t>8. Event Photographs</w:t>
      </w:r>
    </w:p>
    <w:p w14:paraId="4C9210A6">
      <w:pPr>
        <w:spacing w:before="60" w:after="60"/>
        <w:jc w:val="left"/>
      </w:pPr>
      <w:r>
        <w:rPr>
          <w:rFonts w:ascii="Arial" w:hAnsi="Arial" w:eastAsia="Arial" w:cs="Arial"/>
          <w:b w:val="0"/>
          <w:bCs w:val="0"/>
          <w:i w:val="0"/>
          <w:iCs w:val="0"/>
          <w:color w:val="333333"/>
          <w:sz w:val="22"/>
          <w:szCs w:val="22"/>
        </w:rPr>
        <w:t>Photographs from the workshop are included below for documentation purposes.</w:t>
      </w:r>
    </w:p>
    <w:p w14:paraId="674B2B06">
      <w:pPr>
        <w:spacing w:before="12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210"/>
        <w:gridCol w:w="4150"/>
      </w:tblGrid>
      <w:tr w14:paraId="435E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1E3502CC">
            <w:pPr>
              <w:spacing w:before="0" w:after="60"/>
              <w:jc w:val="center"/>
            </w:pPr>
            <w:r>
              <w:rPr>
                <w:rFonts w:ascii="Arial" w:hAnsi="Arial" w:eastAsia="Arial" w:cs="Arial"/>
                <w:color w:val="AAAAAA"/>
                <w:sz w:val="20"/>
                <w:szCs w:val="20"/>
              </w:rPr>
              <w:t>______________</w:t>
            </w:r>
            <w:r>
              <w:rPr>
                <w:rFonts w:ascii="Arial" w:hAnsi="Arial" w:eastAsia="Arial" w:cs="Arial"/>
                <w:color w:val="AAAAAA"/>
                <w:sz w:val="20"/>
                <w:szCs w:val="20"/>
              </w:rPr>
              <w:drawing>
                <wp:inline distT="0" distB="0" distL="114300" distR="114300">
                  <wp:extent cx="2792095" cy="1570355"/>
                  <wp:effectExtent l="0" t="0" r="8255" b="10795"/>
                  <wp:docPr id="5" name="Picture 5" descr="WhatsApp Image 2026-03-09 at 11.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6-03-09 at 11.57.39"/>
                          <pic:cNvPicPr>
                            <a:picLocks noChangeAspect="1"/>
                          </pic:cNvPicPr>
                        </pic:nvPicPr>
                        <pic:blipFill>
                          <a:blip r:embed="rId8"/>
                          <a:stretch>
                            <a:fillRect/>
                          </a:stretch>
                        </pic:blipFill>
                        <pic:spPr>
                          <a:xfrm>
                            <a:off x="0" y="0"/>
                            <a:ext cx="2792095" cy="1570355"/>
                          </a:xfrm>
                          <a:prstGeom prst="rect">
                            <a:avLst/>
                          </a:prstGeom>
                        </pic:spPr>
                      </pic:pic>
                    </a:graphicData>
                  </a:graphic>
                </wp:inline>
              </w:drawing>
            </w:r>
          </w:p>
        </w:tc>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35469282">
            <w:pPr>
              <w:spacing w:before="600" w:after="80"/>
              <w:jc w:val="center"/>
            </w:pPr>
            <w:r>
              <w:rPr>
                <w:rFonts w:ascii="Arial" w:hAnsi="Arial" w:eastAsia="Arial" w:cs="Arial"/>
                <w:sz w:val="22"/>
                <w:szCs w:val="22"/>
              </w:rPr>
              <w:drawing>
                <wp:inline distT="0" distB="0" distL="114300" distR="114300">
                  <wp:extent cx="2451100" cy="1337310"/>
                  <wp:effectExtent l="0" t="0" r="6350" b="15240"/>
                  <wp:docPr id="6" name="Picture 6" descr="WhatsApp Image 2026-03-09 at 11.57.3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6-03-09 at 11.57.39 (2)"/>
                          <pic:cNvPicPr>
                            <a:picLocks noChangeAspect="1"/>
                          </pic:cNvPicPr>
                        </pic:nvPicPr>
                        <pic:blipFill>
                          <a:blip r:embed="rId9"/>
                          <a:stretch>
                            <a:fillRect/>
                          </a:stretch>
                        </pic:blipFill>
                        <pic:spPr>
                          <a:xfrm>
                            <a:off x="0" y="0"/>
                            <a:ext cx="2451100" cy="1337310"/>
                          </a:xfrm>
                          <a:prstGeom prst="rect">
                            <a:avLst/>
                          </a:prstGeom>
                        </pic:spPr>
                      </pic:pic>
                    </a:graphicData>
                  </a:graphic>
                </wp:inline>
              </w:drawing>
            </w:r>
            <w:r>
              <w:rPr>
                <w:rFonts w:ascii="Arial" w:hAnsi="Arial" w:eastAsia="Arial" w:cs="Arial"/>
                <w:sz w:val="22"/>
                <w:szCs w:val="22"/>
              </w:rPr>
              <w:t xml:space="preserve"> </w:t>
            </w:r>
          </w:p>
          <w:p w14:paraId="19F22265">
            <w:pPr>
              <w:spacing w:before="0" w:after="60"/>
              <w:jc w:val="center"/>
            </w:pPr>
          </w:p>
        </w:tc>
      </w:tr>
    </w:tbl>
    <w:p w14:paraId="63C42260">
      <w:pPr>
        <w:spacing w:before="1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318"/>
        <w:gridCol w:w="5042"/>
      </w:tblGrid>
      <w:tr w14:paraId="410A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31832D94">
            <w:pPr>
              <w:spacing w:before="600" w:after="80"/>
              <w:jc w:val="center"/>
            </w:pPr>
            <w:r>
              <w:rPr>
                <w:rFonts w:ascii="Arial" w:hAnsi="Arial" w:eastAsia="Arial" w:cs="Arial"/>
                <w:sz w:val="22"/>
                <w:szCs w:val="22"/>
              </w:rPr>
              <w:drawing>
                <wp:inline distT="0" distB="0" distL="114300" distR="114300">
                  <wp:extent cx="2314575" cy="1285875"/>
                  <wp:effectExtent l="0" t="0" r="9525" b="9525"/>
                  <wp:docPr id="7" name="Picture 7" descr="WhatsApp Image 2026-03-09 at 11.57.3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6-03-09 at 11.57.39 (1)"/>
                          <pic:cNvPicPr>
                            <a:picLocks noChangeAspect="1"/>
                          </pic:cNvPicPr>
                        </pic:nvPicPr>
                        <pic:blipFill>
                          <a:blip r:embed="rId10"/>
                          <a:srcRect l="17103" t="9005"/>
                          <a:stretch>
                            <a:fillRect/>
                          </a:stretch>
                        </pic:blipFill>
                        <pic:spPr>
                          <a:xfrm>
                            <a:off x="0" y="0"/>
                            <a:ext cx="2314575" cy="1285875"/>
                          </a:xfrm>
                          <a:prstGeom prst="rect">
                            <a:avLst/>
                          </a:prstGeom>
                        </pic:spPr>
                      </pic:pic>
                    </a:graphicData>
                  </a:graphic>
                </wp:inline>
              </w:drawing>
            </w:r>
            <w:r>
              <w:rPr>
                <w:rFonts w:ascii="Arial" w:hAnsi="Arial" w:eastAsia="Arial" w:cs="Arial"/>
                <w:sz w:val="22"/>
                <w:szCs w:val="22"/>
              </w:rPr>
              <w:t xml:space="preserve"> </w:t>
            </w:r>
          </w:p>
          <w:p w14:paraId="1C4BC7EC">
            <w:pPr>
              <w:spacing w:before="0" w:after="60"/>
              <w:jc w:val="center"/>
            </w:pPr>
          </w:p>
        </w:tc>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6B2870DF">
            <w:pPr>
              <w:spacing w:before="0" w:after="60"/>
              <w:jc w:val="center"/>
            </w:pPr>
            <w:r>
              <w:rPr>
                <w:rFonts w:ascii="Arial" w:hAnsi="Arial" w:eastAsia="Arial" w:cs="Arial"/>
                <w:color w:val="AAAAAA"/>
                <w:sz w:val="20"/>
                <w:szCs w:val="20"/>
              </w:rPr>
              <w:drawing>
                <wp:inline distT="0" distB="0" distL="114300" distR="114300">
                  <wp:extent cx="2731135" cy="1536065"/>
                  <wp:effectExtent l="0" t="0" r="12065" b="6985"/>
                  <wp:docPr id="8" name="Picture 8" descr="WhatsApp Image 2026-03-09 at 11.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6-03-09 at 11.57.38"/>
                          <pic:cNvPicPr>
                            <a:picLocks noChangeAspect="1"/>
                          </pic:cNvPicPr>
                        </pic:nvPicPr>
                        <pic:blipFill>
                          <a:blip r:embed="rId11"/>
                          <a:stretch>
                            <a:fillRect/>
                          </a:stretch>
                        </pic:blipFill>
                        <pic:spPr>
                          <a:xfrm>
                            <a:off x="0" y="0"/>
                            <a:ext cx="2731135" cy="1536065"/>
                          </a:xfrm>
                          <a:prstGeom prst="rect">
                            <a:avLst/>
                          </a:prstGeom>
                        </pic:spPr>
                      </pic:pic>
                    </a:graphicData>
                  </a:graphic>
                </wp:inline>
              </w:drawing>
            </w:r>
          </w:p>
        </w:tc>
      </w:tr>
    </w:tbl>
    <w:p w14:paraId="2F335912">
      <w:pPr>
        <w:spacing w:before="1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370"/>
      </w:tblGrid>
      <w:tr w14:paraId="0F83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60" w:type="dxa"/>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10CE2A2F">
            <w:pPr>
              <w:spacing w:before="720" w:after="40"/>
              <w:jc w:val="center"/>
              <w:rPr>
                <w:rFonts w:hint="default"/>
                <w:lang w:val="en-IN"/>
              </w:rPr>
            </w:pPr>
            <w:r>
              <w:rPr>
                <w:rFonts w:hint="default"/>
                <w:lang w:val="en-IN"/>
              </w:rPr>
              <w:drawing>
                <wp:inline distT="0" distB="0" distL="114300" distR="114300">
                  <wp:extent cx="5754370" cy="3237230"/>
                  <wp:effectExtent l="0" t="0" r="17780" b="1270"/>
                  <wp:docPr id="9" name="Picture 9" descr="WhatsApp Image 2026-03-09 at 11.57.3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6-03-09 at 11.57.38 (1)"/>
                          <pic:cNvPicPr>
                            <a:picLocks noChangeAspect="1"/>
                          </pic:cNvPicPr>
                        </pic:nvPicPr>
                        <pic:blipFill>
                          <a:blip r:embed="rId12"/>
                          <a:stretch>
                            <a:fillRect/>
                          </a:stretch>
                        </pic:blipFill>
                        <pic:spPr>
                          <a:xfrm>
                            <a:off x="0" y="0"/>
                            <a:ext cx="5754370" cy="3237230"/>
                          </a:xfrm>
                          <a:prstGeom prst="rect">
                            <a:avLst/>
                          </a:prstGeom>
                        </pic:spPr>
                      </pic:pic>
                    </a:graphicData>
                  </a:graphic>
                </wp:inline>
              </w:drawing>
            </w:r>
          </w:p>
          <w:p w14:paraId="6E3883F1">
            <w:pPr>
              <w:spacing w:before="720" w:after="80"/>
              <w:jc w:val="center"/>
            </w:pPr>
            <w:bookmarkStart w:id="0" w:name="_GoBack"/>
            <w:bookmarkEnd w:id="0"/>
          </w:p>
        </w:tc>
      </w:tr>
    </w:tbl>
    <w:p w14:paraId="51A75C7F">
      <w:pPr>
        <w:spacing w:before="44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62"/>
        <w:gridCol w:w="4959"/>
        <w:gridCol w:w="1539"/>
      </w:tblGrid>
      <w:tr w14:paraId="1E63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tcMar>
              <w:top w:w="80" w:type="dxa"/>
              <w:left w:w="60" w:type="dxa"/>
              <w:bottom w:w="80" w:type="dxa"/>
              <w:right w:w="60" w:type="dxa"/>
            </w:tcMar>
          </w:tcPr>
          <w:p w14:paraId="50E7EA0B">
            <w:pPr>
              <w:pBdr>
                <w:top w:val="single" w:color="1B4F9B" w:sz="4" w:space="0"/>
              </w:pBdr>
              <w:spacing w:before="800" w:after="40"/>
            </w:pPr>
          </w:p>
          <w:p w14:paraId="1DAE2B77">
            <w:pPr>
              <w:jc w:val="center"/>
            </w:pPr>
            <w:r>
              <w:rPr>
                <w:rFonts w:ascii="Arial" w:hAnsi="Arial" w:eastAsia="Arial" w:cs="Arial"/>
                <w:b/>
                <w:bCs/>
                <w:color w:val="1B4F9B"/>
                <w:sz w:val="20"/>
                <w:szCs w:val="20"/>
              </w:rPr>
              <w:t>Student Coordinator</w:t>
            </w:r>
          </w:p>
        </w:tc>
        <w:tc>
          <w:tcPr>
            <w:tcBorders>
              <w:top w:val="nil"/>
              <w:left w:val="nil"/>
              <w:bottom w:val="nil"/>
              <w:right w:val="nil"/>
            </w:tcBorders>
            <w:tcMar>
              <w:top w:w="80" w:type="dxa"/>
              <w:left w:w="60" w:type="dxa"/>
              <w:bottom w:w="80" w:type="dxa"/>
              <w:right w:w="60" w:type="dxa"/>
            </w:tcMar>
          </w:tcPr>
          <w:p w14:paraId="2ED45C03">
            <w:pPr>
              <w:pBdr>
                <w:top w:val="single" w:color="1B4F9B" w:sz="4" w:space="0"/>
              </w:pBdr>
              <w:spacing w:before="800" w:after="40"/>
            </w:pPr>
          </w:p>
          <w:p w14:paraId="3C10BA3E">
            <w:pPr>
              <w:jc w:val="center"/>
            </w:pPr>
            <w:r>
              <w:rPr>
                <w:rFonts w:ascii="Arial" w:hAnsi="Arial" w:eastAsia="Arial" w:cs="Arial"/>
                <w:b/>
                <w:bCs/>
                <w:color w:val="1B4F9B"/>
                <w:sz w:val="20"/>
                <w:szCs w:val="20"/>
              </w:rPr>
              <w:t>Branch Counsellor / Faculty Advisor</w:t>
            </w:r>
          </w:p>
        </w:tc>
        <w:tc>
          <w:tcPr>
            <w:tcBorders>
              <w:top w:val="nil"/>
              <w:left w:val="nil"/>
              <w:bottom w:val="nil"/>
              <w:right w:val="nil"/>
            </w:tcBorders>
            <w:tcMar>
              <w:top w:w="80" w:type="dxa"/>
              <w:left w:w="60" w:type="dxa"/>
              <w:bottom w:w="80" w:type="dxa"/>
              <w:right w:w="60" w:type="dxa"/>
            </w:tcMar>
          </w:tcPr>
          <w:p w14:paraId="18B0F096">
            <w:pPr>
              <w:pBdr>
                <w:top w:val="single" w:color="1B4F9B" w:sz="4" w:space="0"/>
              </w:pBdr>
              <w:spacing w:before="800" w:after="40"/>
            </w:pPr>
          </w:p>
          <w:p w14:paraId="53DAFF05">
            <w:pPr>
              <w:jc w:val="center"/>
            </w:pPr>
            <w:r>
              <w:rPr>
                <w:rFonts w:ascii="Arial" w:hAnsi="Arial" w:eastAsia="Arial" w:cs="Arial"/>
                <w:b/>
                <w:bCs/>
                <w:color w:val="1B4F9B"/>
                <w:sz w:val="20"/>
                <w:szCs w:val="20"/>
              </w:rPr>
              <w:t>Dean, SET</w:t>
            </w:r>
          </w:p>
        </w:tc>
      </w:tr>
    </w:tbl>
    <w:p w14:paraId="48A45B1F"/>
    <w:sectPr>
      <w:headerReference r:id="rId3" w:type="default"/>
      <w:footerReference r:id="rId4" w:type="default"/>
      <w:pgSz w:w="12240" w:h="15840"/>
      <w:pgMar w:top="1080" w:right="1260" w:bottom="1080" w:left="126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1B461">
    <w:pPr>
      <w:pBdr>
        <w:top w:val="single" w:color="1B4F9B" w:sz="6" w:space="2"/>
      </w:pBdr>
      <w:spacing w:before="80"/>
      <w:jc w:val="center"/>
    </w:pPr>
    <w:r>
      <w:rPr>
        <w:rFonts w:ascii="Arial" w:hAnsi="Arial" w:eastAsia="Arial" w:cs="Arial"/>
        <w:color w:val="666666"/>
        <w:sz w:val="18"/>
        <w:szCs w:val="18"/>
      </w:rPr>
      <w:t>Event Report | One-Day Workshop on LaTeX | Sanjivani University | IEEE Student Branch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020"/>
      <w:gridCol w:w="2700"/>
    </w:tblGrid>
    <w:tr w14:paraId="519C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20" w:type="dxa"/>
          <w:tcBorders>
            <w:top w:val="nil"/>
            <w:left w:val="nil"/>
            <w:bottom w:val="nil"/>
            <w:right w:val="nil"/>
          </w:tcBorders>
          <w:tcMar>
            <w:top w:w="40" w:type="dxa"/>
            <w:left w:w="0" w:type="dxa"/>
            <w:bottom w:w="40" w:type="dxa"/>
            <w:right w:w="0" w:type="dxa"/>
          </w:tcMar>
          <w:vAlign w:val="center"/>
        </w:tcPr>
        <w:p w14:paraId="116D017F">
          <w:r>
            <w:rPr>
              <w:rFonts w:ascii="Arial" w:hAnsi="Arial" w:eastAsia="Arial" w:cs="Arial"/>
              <w:b/>
              <w:bCs/>
              <w:color w:val="1B4F9B"/>
              <w:sz w:val="22"/>
              <w:szCs w:val="22"/>
            </w:rPr>
            <w:t>Sanjivani University</w:t>
          </w:r>
        </w:p>
        <w:p w14:paraId="3FBB8DC9">
          <w:r>
            <w:rPr>
              <w:rFonts w:ascii="Arial" w:hAnsi="Arial" w:eastAsia="Arial" w:cs="Arial"/>
              <w:color w:val="555555"/>
              <w:sz w:val="18"/>
              <w:szCs w:val="18"/>
            </w:rPr>
            <w:t>School of Engineering &amp; Technology — IEEE Student Branch</w:t>
          </w:r>
        </w:p>
      </w:tc>
      <w:tc>
        <w:tcPr>
          <w:tcW w:w="2700" w:type="dxa"/>
          <w:tcBorders>
            <w:top w:val="nil"/>
            <w:left w:val="nil"/>
            <w:bottom w:val="nil"/>
            <w:right w:val="nil"/>
          </w:tcBorders>
          <w:tcMar>
            <w:top w:w="40" w:type="dxa"/>
            <w:left w:w="0" w:type="dxa"/>
            <w:bottom w:w="40" w:type="dxa"/>
            <w:right w:w="0" w:type="dxa"/>
          </w:tcMar>
          <w:vAlign w:val="center"/>
        </w:tcPr>
        <w:p w14:paraId="2576D5B5">
          <w:pPr>
            <w:jc w:val="right"/>
          </w:pPr>
          <w:r>
            <w:rPr>
              <w:rFonts w:ascii="Arial" w:hAnsi="Arial" w:eastAsia="Arial" w:cs="Arial"/>
              <w:color w:val="888888"/>
              <w:sz w:val="18"/>
              <w:szCs w:val="18"/>
            </w:rPr>
            <w:t>IEEE Student Branch</w:t>
          </w:r>
        </w:p>
      </w:tc>
    </w:tr>
  </w:tbl>
  <w:p w14:paraId="35C95184">
    <w:pPr>
      <w:pBdr>
        <w:bottom w:val="single" w:color="1B4F9B" w:sz="8" w:space="1"/>
      </w:pBdr>
      <w:spacing w:before="60"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documentProtection w:enforcement="0"/>
  <w:compat>
    <w:compatSetting w:name="compatibilityMode" w:uri="http://schemas.microsoft.com/office/word" w:val="15"/>
  </w:compat>
  <w:rsids>
    <w:rsidRoot w:val="00000000"/>
    <w:rsid w:val="167553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2"/>
      <w:szCs w:val="22"/>
    </w:rPr>
  </w:style>
  <w:style w:type="paragraph" w:styleId="2">
    <w:name w:val="heading 1"/>
    <w:next w:val="1"/>
    <w:qFormat/>
    <w:uiPriority w:val="0"/>
    <w:rPr>
      <w:rFonts w:ascii="Arial" w:hAnsi="Arial" w:eastAsia="Arial" w:cs="Arial"/>
      <w:color w:val="2E74B5"/>
      <w:sz w:val="32"/>
      <w:szCs w:val="32"/>
    </w:rPr>
  </w:style>
  <w:style w:type="paragraph" w:styleId="3">
    <w:name w:val="heading 2"/>
    <w:next w:val="1"/>
    <w:qFormat/>
    <w:uiPriority w:val="0"/>
    <w:rPr>
      <w:rFonts w:ascii="Arial" w:hAnsi="Arial" w:eastAsia="Arial" w:cs="Arial"/>
      <w:color w:val="2E74B5"/>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2"/>
      <w:szCs w:val="22"/>
    </w:rPr>
  </w:style>
  <w:style w:type="paragraph" w:styleId="6">
    <w:name w:val="heading 5"/>
    <w:next w:val="1"/>
    <w:qFormat/>
    <w:uiPriority w:val="0"/>
    <w:rPr>
      <w:rFonts w:ascii="Arial" w:hAnsi="Arial" w:eastAsia="Arial" w:cs="Arial"/>
      <w:color w:val="2E74B5"/>
      <w:sz w:val="22"/>
      <w:szCs w:val="22"/>
    </w:rPr>
  </w:style>
  <w:style w:type="paragraph" w:styleId="7">
    <w:name w:val="heading 6"/>
    <w:next w:val="1"/>
    <w:qFormat/>
    <w:uiPriority w:val="0"/>
    <w:rPr>
      <w:rFonts w:ascii="Arial" w:hAnsi="Arial" w:eastAsia="Arial" w:cs="Arial"/>
      <w:color w:val="1F4D78"/>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footnote reference"/>
    <w:semiHidden/>
    <w:unhideWhenUsed/>
    <w:uiPriority w:val="99"/>
    <w:rPr>
      <w:vertAlign w:val="superscript"/>
    </w:rPr>
  </w:style>
  <w:style w:type="paragraph" w:styleId="11">
    <w:name w:val="footnote text"/>
    <w:link w:val="15"/>
    <w:semiHidden/>
    <w:unhideWhenUsed/>
    <w:uiPriority w:val="99"/>
    <w:pPr>
      <w:spacing w:after="0" w:line="240" w:lineRule="auto"/>
    </w:pPr>
    <w:rPr>
      <w:rFonts w:ascii="Arial" w:hAnsi="Arial" w:eastAsia="Arial" w:cs="Arial"/>
      <w:sz w:val="20"/>
      <w:szCs w:val="20"/>
    </w:rPr>
  </w:style>
  <w:style w:type="character" w:styleId="12">
    <w:name w:val="Hyperlink"/>
    <w:unhideWhenUsed/>
    <w:qFormat/>
    <w:uiPriority w:val="99"/>
    <w:rPr>
      <w:color w:val="0563C1"/>
      <w:u w:val="single"/>
    </w:rPr>
  </w:style>
  <w:style w:type="paragraph" w:styleId="13">
    <w:name w:val="Title"/>
    <w:qFormat/>
    <w:uiPriority w:val="0"/>
    <w:rPr>
      <w:rFonts w:ascii="Arial" w:hAnsi="Arial" w:eastAsia="Arial" w:cs="Arial"/>
      <w:sz w:val="56"/>
      <w:szCs w:val="56"/>
    </w:rPr>
  </w:style>
  <w:style w:type="paragraph" w:styleId="14">
    <w:name w:val="List Paragraph"/>
    <w:qFormat/>
    <w:uiPriority w:val="0"/>
    <w:rPr>
      <w:rFonts w:ascii="Arial" w:hAnsi="Arial" w:eastAsia="Arial" w:cs="Arial"/>
      <w:sz w:val="22"/>
      <w:szCs w:val="22"/>
    </w:rPr>
  </w:style>
  <w:style w:type="character" w:customStyle="1" w:styleId="15">
    <w:name w:val="Foot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3</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2026-03-09T05:30:00Z</dcterms:created>
  <dc:creator>Un-named</dc:creator>
  <cp:lastModifiedBy>pranav gaikwad</cp:lastModifiedBy>
  <dcterms:modified xsi:type="dcterms:W3CDTF">2026-03-09T06:32:58Z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3481AB3729B14E499AE39116FE0C2EBA_12</vt:lpwstr>
  </property>
</Properties>
</file>